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ind w:left="4"/>
        <w:rPr>
          <w:rFonts w:ascii="Arial"/>
          <w:sz w:val="21"/>
        </w:rPr>
      </w:pPr>
      <w:r>
        <w:rPr>
          <w:rFonts w:ascii="SimHei" w:hAnsi="SimHei" w:eastAsia="SimHei" w:cs="SimHei"/>
          <w:b/>
          <w:bCs/>
          <w:spacing w:val="-1"/>
          <w:sz w:val="31"/>
          <w:szCs w:val="31"/>
        </w:rPr>
        <w:t>附件</w:t>
      </w:r>
    </w:p>
    <w:p>
      <w:pPr>
        <w:spacing w:line="283" w:lineRule="auto"/>
        <w:rPr>
          <w:rFonts w:ascii="Arial"/>
          <w:sz w:val="21"/>
        </w:rPr>
      </w:pPr>
    </w:p>
    <w:p>
      <w:pPr>
        <w:spacing w:before="143" w:line="254" w:lineRule="auto"/>
        <w:ind w:left="2576" w:right="845" w:hanging="1700"/>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8"/>
          <w:sz w:val="44"/>
          <w:szCs w:val="44"/>
        </w:rPr>
        <w:t>国家语委“十四五”科研规划项目</w:t>
      </w:r>
      <w:r>
        <w:rPr>
          <w:rFonts w:hint="eastAsia" w:ascii="方正小标宋简体" w:hAnsi="方正小标宋简体" w:eastAsia="方正小标宋简体" w:cs="方正小标宋简体"/>
          <w:b w:val="0"/>
          <w:bCs w:val="0"/>
          <w:spacing w:val="4"/>
          <w:sz w:val="44"/>
          <w:szCs w:val="44"/>
        </w:rPr>
        <w:t>2025年选题指南</w:t>
      </w:r>
    </w:p>
    <w:bookmarkEnd w:id="0"/>
    <w:p>
      <w:pPr>
        <w:spacing w:line="289" w:lineRule="auto"/>
        <w:rPr>
          <w:rFonts w:ascii="Arial"/>
          <w:sz w:val="21"/>
        </w:rPr>
      </w:pPr>
    </w:p>
    <w:p>
      <w:pPr>
        <w:spacing w:line="29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firstLineChars="200"/>
        <w:textAlignment w:val="baseline"/>
        <w:outlineLvl w:val="2"/>
        <w:rPr>
          <w:rFonts w:hint="eastAsia" w:ascii="黑体" w:hAnsi="黑体" w:eastAsia="黑体" w:cs="黑体"/>
          <w:b/>
          <w:bCs/>
          <w:spacing w:val="-6"/>
          <w:sz w:val="31"/>
          <w:szCs w:val="31"/>
        </w:rPr>
      </w:pPr>
      <w:r>
        <w:rPr>
          <w:rFonts w:hint="eastAsia" w:ascii="黑体" w:hAnsi="黑体" w:eastAsia="黑体" w:cs="黑体"/>
          <w:b/>
          <w:bCs/>
          <w:spacing w:val="-6"/>
          <w:sz w:val="31"/>
          <w:szCs w:val="31"/>
        </w:rPr>
        <w:t>一、重大项目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lang w:val="en-US" w:eastAsia="zh-CN"/>
        </w:rPr>
        <w:t>1.</w:t>
      </w:r>
      <w:r>
        <w:rPr>
          <w:rFonts w:hint="eastAsia" w:ascii="方正仿宋_GB2312" w:hAnsi="方正仿宋_GB2312" w:eastAsia="方正仿宋_GB2312" w:cs="方正仿宋_GB2312"/>
          <w:spacing w:val="2"/>
          <w:sz w:val="28"/>
          <w:szCs w:val="28"/>
        </w:rPr>
        <w:t>语言文字思政教育功能与实现方式研究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48" w:firstLineChars="200"/>
        <w:jc w:val="both"/>
        <w:textAlignment w:val="baseline"/>
        <w:rPr>
          <w:rFonts w:hint="eastAsia" w:ascii="方正仿宋_GB2312" w:hAnsi="方正仿宋_GB2312" w:eastAsia="方正仿宋_GB2312" w:cs="方正仿宋_GB2312"/>
          <w:spacing w:val="9"/>
          <w:sz w:val="28"/>
          <w:szCs w:val="28"/>
        </w:rPr>
      </w:pPr>
      <w:r>
        <w:rPr>
          <w:rFonts w:hint="eastAsia" w:ascii="方正仿宋_GB2312" w:hAnsi="方正仿宋_GB2312" w:eastAsia="方正仿宋_GB2312" w:cs="方正仿宋_GB2312"/>
          <w:color w:val="FFFFFF" w:themeColor="background1"/>
          <w:spacing w:val="12"/>
          <w:sz w:val="20"/>
          <w:szCs w:val="20"/>
          <w:lang w:val="en-US" w:eastAsia="zh-CN"/>
          <w14:textFill>
            <w14:solidFill>
              <w14:schemeClr w14:val="bg1"/>
            </w14:solidFill>
          </w14:textFill>
        </w:rPr>
        <w:t>1</w:t>
      </w:r>
      <w:r>
        <w:rPr>
          <w:rFonts w:hint="eastAsia" w:ascii="方正仿宋_GB2312" w:hAnsi="方正仿宋_GB2312" w:eastAsia="方正仿宋_GB2312" w:cs="方正仿宋_GB2312"/>
          <w:spacing w:val="12"/>
          <w:sz w:val="28"/>
          <w:szCs w:val="28"/>
          <w:lang w:val="en-US" w:eastAsia="zh-CN"/>
        </w:rPr>
        <w:t>2.</w:t>
      </w:r>
      <w:r>
        <w:rPr>
          <w:rFonts w:hint="eastAsia" w:ascii="方正仿宋_GB2312" w:hAnsi="方正仿宋_GB2312" w:eastAsia="方正仿宋_GB2312" w:cs="方正仿宋_GB2312"/>
          <w:spacing w:val="12"/>
          <w:sz w:val="28"/>
          <w:szCs w:val="28"/>
        </w:rPr>
        <w:t>全球数字空间中文影响力调查与提升研究(</w:t>
      </w:r>
      <w:r>
        <w:rPr>
          <w:rFonts w:hint="eastAsia" w:ascii="方正仿宋_GB2312" w:hAnsi="方正仿宋_GB2312" w:eastAsia="方正仿宋_GB2312" w:cs="方正仿宋_GB2312"/>
          <w:spacing w:val="11"/>
          <w:sz w:val="28"/>
          <w:szCs w:val="28"/>
        </w:rPr>
        <w:t>研究时间</w:t>
      </w:r>
      <w:r>
        <w:rPr>
          <w:rFonts w:hint="eastAsia" w:ascii="方正仿宋_GB2312" w:hAnsi="方正仿宋_GB2312" w:eastAsia="方正仿宋_GB2312" w:cs="方正仿宋_GB2312"/>
          <w:spacing w:val="9"/>
          <w:sz w:val="28"/>
          <w:szCs w:val="28"/>
        </w:rPr>
        <w:t>1</w:t>
      </w:r>
      <w:r>
        <w:rPr>
          <w:rFonts w:hint="eastAsia" w:ascii="方正仿宋_GB2312" w:hAnsi="方正仿宋_GB2312" w:eastAsia="方正仿宋_GB2312" w:cs="方正仿宋_GB2312"/>
          <w:spacing w:val="9"/>
          <w:sz w:val="28"/>
          <w:szCs w:val="28"/>
          <w:lang w:val="en-US" w:eastAsia="zh-CN"/>
        </w:rPr>
        <w:t>-</w:t>
      </w:r>
      <w:r>
        <w:rPr>
          <w:rFonts w:hint="eastAsia" w:ascii="方正仿宋_GB2312" w:hAnsi="方正仿宋_GB2312" w:eastAsia="方正仿宋_GB2312" w:cs="方正仿宋_GB2312"/>
          <w:spacing w:val="9"/>
          <w:sz w:val="28"/>
          <w:szCs w:val="28"/>
        </w:rPr>
        <w:t>2年)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lang w:val="en-US" w:eastAsia="zh-CN"/>
        </w:rPr>
        <w:t>3.</w:t>
      </w:r>
      <w:r>
        <w:rPr>
          <w:rFonts w:hint="eastAsia" w:ascii="方正仿宋_GB2312" w:hAnsi="方正仿宋_GB2312" w:eastAsia="方正仿宋_GB2312" w:cs="方正仿宋_GB2312"/>
          <w:spacing w:val="-5"/>
          <w:sz w:val="28"/>
          <w:szCs w:val="28"/>
        </w:rPr>
        <w:t>“十五五”规划背景下语言科学的理论建构与话语体系</w:t>
      </w:r>
      <w:r>
        <w:rPr>
          <w:rFonts w:hint="eastAsia" w:ascii="方正仿宋_GB2312" w:hAnsi="方正仿宋_GB2312" w:eastAsia="方正仿宋_GB2312" w:cs="方正仿宋_GB2312"/>
          <w:spacing w:val="-5"/>
          <w:sz w:val="28"/>
          <w:szCs w:val="28"/>
          <w:lang w:val="en-US" w:eastAsia="zh-CN"/>
        </w:rPr>
        <w:t>研</w:t>
      </w:r>
      <w:r>
        <w:rPr>
          <w:rFonts w:hint="eastAsia" w:ascii="方正仿宋_GB2312" w:hAnsi="方正仿宋_GB2312" w:eastAsia="方正仿宋_GB2312" w:cs="方正仿宋_GB2312"/>
          <w:spacing w:val="16"/>
          <w:sz w:val="28"/>
          <w:szCs w:val="28"/>
        </w:rPr>
        <w:t>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440"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FFFFFF" w:themeColor="background1"/>
          <w:spacing w:val="5"/>
          <w:sz w:val="21"/>
          <w:szCs w:val="21"/>
          <w:lang w:val="en-US" w:eastAsia="zh-CN"/>
          <w14:textFill>
            <w14:solidFill>
              <w14:schemeClr w14:val="bg1"/>
            </w14:solidFill>
          </w14:textFill>
        </w:rPr>
        <w:t>1</w:t>
      </w:r>
      <w:r>
        <w:rPr>
          <w:rFonts w:hint="eastAsia" w:ascii="方正仿宋_GB2312" w:hAnsi="方正仿宋_GB2312" w:eastAsia="方正仿宋_GB2312" w:cs="方正仿宋_GB2312"/>
          <w:spacing w:val="5"/>
          <w:sz w:val="28"/>
          <w:szCs w:val="28"/>
          <w:lang w:val="en-US" w:eastAsia="zh-CN"/>
        </w:rPr>
        <w:t>4.</w:t>
      </w:r>
      <w:r>
        <w:rPr>
          <w:rFonts w:hint="eastAsia" w:ascii="方正仿宋_GB2312" w:hAnsi="方正仿宋_GB2312" w:eastAsia="方正仿宋_GB2312" w:cs="方正仿宋_GB2312"/>
          <w:spacing w:val="5"/>
          <w:sz w:val="28"/>
          <w:szCs w:val="28"/>
        </w:rPr>
        <w:t>大中小学中华优秀语言文化传承教育一体化建设研究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lang w:val="en-US" w:eastAsia="zh-CN"/>
        </w:rPr>
        <w:t>5.</w:t>
      </w:r>
      <w:r>
        <w:rPr>
          <w:rFonts w:hint="eastAsia" w:ascii="方正仿宋_GB2312" w:hAnsi="方正仿宋_GB2312" w:eastAsia="方正仿宋_GB2312" w:cs="方正仿宋_GB2312"/>
          <w:spacing w:val="-5"/>
          <w:sz w:val="28"/>
          <w:szCs w:val="28"/>
        </w:rPr>
        <w:t>中国特色语言文明及其国际交流互鉴的理论与实践研究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lang w:val="en-US" w:eastAsia="zh-CN"/>
        </w:rPr>
        <w:t>6.</w:t>
      </w:r>
      <w:r>
        <w:rPr>
          <w:rFonts w:hint="eastAsia" w:ascii="方正仿宋_GB2312" w:hAnsi="方正仿宋_GB2312" w:eastAsia="方正仿宋_GB2312" w:cs="方正仿宋_GB2312"/>
          <w:spacing w:val="-2"/>
          <w:sz w:val="28"/>
          <w:szCs w:val="28"/>
        </w:rPr>
        <w:t>中国老年人语言健康标准研究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firstLineChars="200"/>
        <w:textAlignment w:val="baseline"/>
        <w:outlineLvl w:val="2"/>
        <w:rPr>
          <w:rFonts w:hint="eastAsia" w:ascii="黑体" w:hAnsi="黑体" w:eastAsia="黑体" w:cs="黑体"/>
          <w:b/>
          <w:bCs/>
          <w:spacing w:val="-6"/>
          <w:sz w:val="31"/>
          <w:szCs w:val="31"/>
        </w:rPr>
      </w:pPr>
      <w:r>
        <w:rPr>
          <w:rFonts w:hint="eastAsia" w:ascii="黑体" w:hAnsi="黑体" w:eastAsia="黑体" w:cs="黑体"/>
          <w:b/>
          <w:bCs/>
          <w:spacing w:val="-6"/>
          <w:sz w:val="31"/>
          <w:szCs w:val="31"/>
        </w:rPr>
        <w:t>二、重点项目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1.语言服务赋能国家关键领域发展的理论构建与实践路径研究(分领域申报)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2.中国特色教育话语体系及其关键词语研究(分领域申报，基础教育领域已立项)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3.乡村文化振兴视域下乡村语言景观治理与规划研究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4.旅游城市语言服务评价标准研究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5.语言数据要素驱动产业发展的统计测度与实现路径研究(研究时间1—2年)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6.语言文字大数据治理框架及其规范标准研究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7.基于大数据的语言能力测量框架研究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8.数智化时代儿童早期语言能力形成与发展研究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9.面向视听双障人群的触觉手语与手指盲文语料库建设研究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10.国家通用盲文规范词语表研究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11.全球竞争背景下边境安全中语言风险评估与对策研究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7" w:firstLineChars="200"/>
        <w:textAlignment w:val="baseline"/>
        <w:outlineLvl w:val="2"/>
        <w:rPr>
          <w:rFonts w:hint="eastAsia" w:ascii="黑体" w:hAnsi="黑体" w:eastAsia="黑体" w:cs="黑体"/>
          <w:sz w:val="31"/>
          <w:szCs w:val="31"/>
        </w:rPr>
      </w:pPr>
      <w:r>
        <w:rPr>
          <w:rFonts w:hint="eastAsia" w:ascii="黑体" w:hAnsi="黑体" w:eastAsia="黑体" w:cs="黑体"/>
          <w:b/>
          <w:bCs/>
          <w:spacing w:val="-6"/>
          <w:sz w:val="31"/>
          <w:szCs w:val="31"/>
        </w:rPr>
        <w:t>三、一般项目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1.国家通用语言文字法实施视阈下地方语言文字治理体系与能力建设研究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2.中华优秀语言文化融入家校社协同育人的路径与机制研究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3.新时代高校思政课话语体系改革创新研究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4.大学语文课程体系创新研究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5.文化创意产业中的语言资源开发与应用研究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6.中文数字化进程与“十五五”期间发展策略研究(研究时间1年)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7.面向青少年学生职业发展需要的核心语言能力研究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8.人机协同的语言翻译人才培养研究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9.面向全球的“外语+”复合型人才培养研究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10.语言密集型行业的人才供需适配机制研究(分行业申报)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11.面向“一带一路”经贸合作的“专业技能+语言能力+跨域文化”行业术语与教学资源建设研究(分行业申报)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rFonts w:hint="eastAsia" w:ascii="方正仿宋_GB2312" w:hAnsi="方正仿宋_GB2312" w:eastAsia="方正仿宋_GB2312" w:cs="方正仿宋_GB2312"/>
          <w:spacing w:val="2"/>
          <w:sz w:val="28"/>
          <w:szCs w:val="28"/>
        </w:rPr>
      </w:pPr>
      <w:r>
        <w:rPr>
          <w:rFonts w:hint="eastAsia" w:ascii="方正仿宋_GB2312" w:hAnsi="方正仿宋_GB2312" w:eastAsia="方正仿宋_GB2312" w:cs="方正仿宋_GB2312"/>
          <w:spacing w:val="2"/>
          <w:sz w:val="28"/>
          <w:szCs w:val="28"/>
        </w:rPr>
        <w:t>12.跨境电商语言服务需求及其发展趋势研究</w:t>
      </w:r>
    </w:p>
    <w:sectPr>
      <w:footerReference r:id="rId5" w:type="default"/>
      <w:pgSz w:w="11560" w:h="16490"/>
      <w:pgMar w:top="1401" w:right="1682" w:bottom="1127" w:left="1609" w:header="0" w:footer="10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
    <w:altName w:val="方正仿宋_GBK"/>
    <w:panose1 w:val="02010609060101010101"/>
    <w:charset w:val="86"/>
    <w:family w:val="auto"/>
    <w:pitch w:val="default"/>
    <w:sig w:usb0="00000000" w:usb1="00000000" w:usb2="00000016" w:usb3="00000000" w:csb0="00040001" w:csb1="00000000"/>
  </w:font>
  <w:font w:name="SimHei">
    <w:altName w:val="汉仪中黑KW"/>
    <w:panose1 w:val="02010609060101010101"/>
    <w:charset w:val="86"/>
    <w:family w:val="auto"/>
    <w:pitch w:val="default"/>
    <w:sig w:usb0="00000000" w:usb1="00000000" w:usb2="00000016" w:usb3="00000000" w:csb0="00040001" w:csb1="00000000"/>
  </w:font>
  <w:font w:name="KaiTi">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0"/>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FEF75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43</TotalTime>
  <ScaleCrop>false</ScaleCrop>
  <LinksUpToDate>false</LinksUpToDate>
  <Application>WPS Office_6.5.0.8619_F1E327BC-269C-435d-A152-05C5408002CA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2025-07-29T22:34:00Z</dcterms:created>
  <dc:creator>Data</dc:creator>
  <cp:lastModifiedBy>松子</cp:lastModifiedBy>
  <dcterms:modified xsi:type="dcterms:W3CDTF">2025-07-29T17:35:26Z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2025-07-29T14:34:39Z</vt:filetime>
  </property>
  <property fmtid="{D5CDD505-2E9C-101B-9397-08002B2CF9AE}" pid="4" name="UsrData">
    <vt:lpwstr>68886b7ca43bea00206ddde0wl</vt:lpwstr>
  </property>
  <property fmtid="{D5CDD505-2E9C-101B-9397-08002B2CF9AE}" pid="5" name="KSOProductBuildVer">
    <vt:lpwstr>2052-6.5.0.8619</vt:lpwstr>
  </property>
  <property fmtid="{D5CDD505-2E9C-101B-9397-08002B2CF9AE}" pid="6" name="ICV">
    <vt:lpwstr>879E80D7C0287CD1DE95886883396216_42</vt:lpwstr>
  </property>
</Properties>
</file>