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二十届三中全会精神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</w:rPr>
        <w:t>的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</w:rPr>
        <w:t>要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</w:rPr>
        <w:t>点和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热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fill="FFFFFF"/>
        </w:rPr>
        <w:t>点问题</w:t>
      </w:r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以下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要点和热点问题全面涵盖了二十届三中全会的精神和主要改革方向，反映了中国进一步深化改革开放的决心和战略布局。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3" w:firstLineChars="300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一、全会最重要成果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审议通过了《中共中央关于进一步全面深化改革、推进中国式现代化的决定》。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《决定》共15个部分、60条，分为三大板块：总论、分论和加强党对改革的领导、深化党的建设制度改革。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提出300多项重要改革举措，涉及体制、机制、制度等层面。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3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二、新时代全面深改重大成就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各领域基础性制度框架基本建立。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中国特色社会主义制度优势得到巩固和发展。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经济发展注入强大动力，推动经济高质量发展。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国家治理体系和治理能力现代化水平提升。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人民群众获得感、幸福感、安全感增强。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党在革命性锻造中更加坚强有力。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3" w:firstLineChars="300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三、进一步全面深化改革的总目标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继续完善和发展中国特色社会主义制度，推进国家治理体系和治理能力现代化。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必须贯彻以下原则：坚持党的全面领导、以人民为中心、坚持守正创新、坚持以制度建设为主线、坚持全面依法治国、坚持系统观念。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3" w:firstLineChars="300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四、经济、民生领域改革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以经济体制改革为牵引，构建高水平社会主义市场经济体制。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健全推动高质量发展体制机制。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健全宏观经济治理体系。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完善城乡融合发展体制机制。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推进高水平对外开放。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健全保障和改善民生制度体系。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深化生态文明体制改革。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3" w:firstLineChars="300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五、教育、科技、人才、创新领域改革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构建支持全面创新体制机制，统筹推进教育科技人才体制机制一体改革。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深化教育综合改革。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深化科技体制改革。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深化人才发展体制机制改革。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3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六、民主、法治领域改革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发展全过程人民民主，健全全过程人民民主制度体系。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坚持依法治国，在法治轨道上深化改革、推进中国式现代化。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完善中国特色社会主义法治体系，包括深化立法领域改革、深入推进依法行政、健全公正执法司法体制机制等。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3" w:firstLineChars="300"/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七、加强党的领导和深化党的建设制度改革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坚持党中央对进一步全面深化改革的集中统一领导。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深化党的建设制度改革。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-360" w:leftChars="0" w:right="0" w:rightChars="0" w:firstLine="840" w:firstLineChars="300"/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28"/>
          <w:szCs w:val="28"/>
          <w:shd w:val="clear" w:fill="FFFFFF"/>
        </w:rPr>
        <w:t>深入推进党风廉政建设和反腐败斗争。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YjNhNjU0M2FkZWFkY2YwZWU0ODJkZjQ2YmI0MjIifQ=="/>
  </w:docVars>
  <w:rsids>
    <w:rsidRoot w:val="12802481"/>
    <w:rsid w:val="001D224C"/>
    <w:rsid w:val="12802481"/>
    <w:rsid w:val="4438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2024-09-23T06:24:00Z</dcterms:created>
  <dc:creator>刘峻成</dc:creator>
  <cp:lastModifiedBy>刘峻成</cp:lastModifiedBy>
  <dcterms:modified xsi:type="dcterms:W3CDTF">2024-09-23T06:48:05Z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743287A19E1C4A3F9E6ED79CDF1FC3F7_13</vt:lpwstr>
  </property>
</Properties>
</file>